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60" w:rsidRDefault="00FB2760" w:rsidP="00FB2760">
      <w:pPr>
        <w:spacing w:after="0"/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2628000" cy="765515"/>
            <wp:effectExtent l="0" t="0" r="1270" b="0"/>
            <wp:docPr id="1" name="Picture 1" descr="V:\Secretariat\anafagen\Session 2015-2016\Corporate Compliance\New Abertay University Logos\Colour Abertay Un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Secretariat\anafagen\Session 2015-2016\Corporate Compliance\New Abertay University Logos\Colour Abertay Uni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76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760" w:rsidRPr="00CA730C" w:rsidRDefault="00FB2760" w:rsidP="00FB2760">
      <w:pPr>
        <w:spacing w:after="0"/>
        <w:rPr>
          <w:b/>
          <w:sz w:val="16"/>
          <w:szCs w:val="16"/>
        </w:rPr>
      </w:pPr>
    </w:p>
    <w:p w:rsidR="00FB2760" w:rsidRPr="004E67E6" w:rsidRDefault="003F538C" w:rsidP="004E67E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Considering Equality Impact Assessment when p</w:t>
      </w:r>
      <w:r w:rsidR="004E67E6" w:rsidRPr="004E67E6">
        <w:rPr>
          <w:b/>
          <w:sz w:val="32"/>
          <w:szCs w:val="32"/>
        </w:rPr>
        <w:t xml:space="preserve">reparing new and amending existing documents </w:t>
      </w:r>
    </w:p>
    <w:p w:rsidR="004E67E6" w:rsidRDefault="004E67E6" w:rsidP="00FB2760">
      <w:pPr>
        <w:spacing w:after="0"/>
        <w:rPr>
          <w:b/>
        </w:rPr>
      </w:pPr>
    </w:p>
    <w:p w:rsidR="00F75484" w:rsidRDefault="00F75484" w:rsidP="00F75484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drawing>
          <wp:inline distT="0" distB="0" distL="0" distR="0" wp14:anchorId="0B997C70">
            <wp:extent cx="3524250" cy="20637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426" cy="2065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5484" w:rsidRDefault="00F75484" w:rsidP="00FB2760">
      <w:pPr>
        <w:spacing w:after="0"/>
        <w:rPr>
          <w:b/>
          <w:sz w:val="24"/>
          <w:szCs w:val="24"/>
        </w:rPr>
      </w:pPr>
    </w:p>
    <w:p w:rsidR="00FB2760" w:rsidRPr="004E67E6" w:rsidRDefault="00FB2760" w:rsidP="00FB2760">
      <w:pPr>
        <w:spacing w:after="0"/>
        <w:rPr>
          <w:b/>
          <w:sz w:val="24"/>
          <w:szCs w:val="24"/>
        </w:rPr>
      </w:pPr>
      <w:r w:rsidRPr="004E67E6">
        <w:rPr>
          <w:b/>
          <w:sz w:val="24"/>
          <w:szCs w:val="24"/>
        </w:rPr>
        <w:t>Purpose</w:t>
      </w:r>
    </w:p>
    <w:p w:rsidR="00FB2760" w:rsidRDefault="00FB2760" w:rsidP="00CA730C">
      <w:pPr>
        <w:spacing w:after="120"/>
      </w:pPr>
      <w:r>
        <w:t xml:space="preserve">This guidance </w:t>
      </w:r>
      <w:proofErr w:type="gramStart"/>
      <w:r>
        <w:t>is intended</w:t>
      </w:r>
      <w:proofErr w:type="gramEnd"/>
      <w:r>
        <w:t xml:space="preserve"> to inform staff of the process that should be followed when a new document is produced or an existing document is amended or revised.</w:t>
      </w:r>
    </w:p>
    <w:p w:rsidR="00D0172B" w:rsidRDefault="00FB2760" w:rsidP="00FB2760">
      <w:pPr>
        <w:spacing w:after="0"/>
        <w:rPr>
          <w:b/>
          <w:sz w:val="24"/>
          <w:szCs w:val="24"/>
        </w:rPr>
      </w:pPr>
      <w:r w:rsidRPr="004E67E6">
        <w:rPr>
          <w:b/>
          <w:sz w:val="24"/>
          <w:szCs w:val="24"/>
        </w:rPr>
        <w:t xml:space="preserve">Public Sector Equality Duty  </w:t>
      </w:r>
    </w:p>
    <w:p w:rsidR="003F538C" w:rsidRDefault="003F538C" w:rsidP="00FB2760">
      <w:pPr>
        <w:spacing w:after="0"/>
      </w:pPr>
      <w:r>
        <w:t xml:space="preserve">Under the Equality Act 2010 and the Equality Act 2010 (Specific Duties) (Scotland) Regulations 2012 the University, in the exercise of its functions, </w:t>
      </w:r>
      <w:r w:rsidR="004A1764">
        <w:t xml:space="preserve">is required to comply with a public sector equality duty (PSED) consisting of a general duty supported by specific duties and </w:t>
      </w:r>
      <w:r>
        <w:t xml:space="preserve">must have </w:t>
      </w:r>
      <w:r w:rsidRPr="00E82B85">
        <w:rPr>
          <w:u w:val="single"/>
        </w:rPr>
        <w:t>due regard</w:t>
      </w:r>
      <w:r>
        <w:t xml:space="preserve"> to the need to:</w:t>
      </w:r>
    </w:p>
    <w:p w:rsidR="003F538C" w:rsidRDefault="003F538C" w:rsidP="003F538C">
      <w:pPr>
        <w:pStyle w:val="ListParagraph"/>
        <w:numPr>
          <w:ilvl w:val="0"/>
          <w:numId w:val="2"/>
        </w:numPr>
        <w:spacing w:after="0"/>
      </w:pPr>
      <w:r>
        <w:t>Eliminate unlawful discrimination, harassment and victimisation and other conduct prohibited by the Equality Act 2010;</w:t>
      </w:r>
    </w:p>
    <w:p w:rsidR="003F538C" w:rsidRDefault="003F538C" w:rsidP="003F538C">
      <w:pPr>
        <w:pStyle w:val="ListParagraph"/>
        <w:numPr>
          <w:ilvl w:val="0"/>
          <w:numId w:val="2"/>
        </w:numPr>
        <w:spacing w:after="0"/>
      </w:pPr>
      <w:r>
        <w:t>Advance equality of opportunity between people from different groups, considering the need to:</w:t>
      </w:r>
    </w:p>
    <w:p w:rsidR="003F538C" w:rsidRDefault="003F538C" w:rsidP="003F538C">
      <w:pPr>
        <w:pStyle w:val="ListParagraph"/>
        <w:numPr>
          <w:ilvl w:val="0"/>
          <w:numId w:val="1"/>
        </w:numPr>
        <w:spacing w:after="0"/>
      </w:pPr>
      <w:r>
        <w:t>Remove or minimise disadvantages suffered by people due to their protected characteristics;</w:t>
      </w:r>
    </w:p>
    <w:p w:rsidR="003F538C" w:rsidRDefault="003F538C" w:rsidP="003F538C">
      <w:pPr>
        <w:pStyle w:val="ListParagraph"/>
        <w:numPr>
          <w:ilvl w:val="0"/>
          <w:numId w:val="1"/>
        </w:numPr>
        <w:spacing w:after="0"/>
      </w:pPr>
      <w:r>
        <w:t>Meet the needs of people with protected characteristics;</w:t>
      </w:r>
    </w:p>
    <w:p w:rsidR="003F538C" w:rsidRDefault="003F538C" w:rsidP="003F538C">
      <w:pPr>
        <w:pStyle w:val="ListParagraph"/>
        <w:numPr>
          <w:ilvl w:val="0"/>
          <w:numId w:val="1"/>
        </w:numPr>
        <w:spacing w:after="0"/>
      </w:pPr>
      <w:r>
        <w:t>Encourage people with protected characterist</w:t>
      </w:r>
      <w:r w:rsidR="00AB269F">
        <w:t>ics to participate in public li</w:t>
      </w:r>
      <w:r>
        <w:t>fe or in other activities where their participation is low.</w:t>
      </w:r>
    </w:p>
    <w:p w:rsidR="003F538C" w:rsidRDefault="00AB269F" w:rsidP="003F538C">
      <w:pPr>
        <w:pStyle w:val="ListParagraph"/>
        <w:numPr>
          <w:ilvl w:val="0"/>
          <w:numId w:val="2"/>
        </w:numPr>
        <w:spacing w:after="0"/>
      </w:pPr>
      <w:r>
        <w:t>Foster good relations between people from different groups, tackling prejudice and promoting understanding between people from different groups.</w:t>
      </w:r>
    </w:p>
    <w:p w:rsidR="00AB269F" w:rsidRDefault="00AB269F" w:rsidP="00CA730C">
      <w:pPr>
        <w:spacing w:before="120" w:after="120"/>
      </w:pPr>
      <w:r>
        <w:t>In order to demonstrate due regard, the University must consider the three needs of its</w:t>
      </w:r>
      <w:r w:rsidR="00561489">
        <w:t xml:space="preserve"> general duty:</w:t>
      </w:r>
    </w:p>
    <w:p w:rsidR="00561489" w:rsidRPr="00561489" w:rsidRDefault="00561489" w:rsidP="00561489">
      <w:pPr>
        <w:pStyle w:val="ListParagraph"/>
        <w:numPr>
          <w:ilvl w:val="0"/>
          <w:numId w:val="4"/>
        </w:numPr>
        <w:spacing w:after="0"/>
        <w:rPr>
          <w:b/>
        </w:rPr>
      </w:pPr>
      <w:r w:rsidRPr="00561489">
        <w:rPr>
          <w:b/>
        </w:rPr>
        <w:t>Developing, evaluating and reviewing policies;</w:t>
      </w:r>
    </w:p>
    <w:p w:rsidR="00561489" w:rsidRDefault="00561489" w:rsidP="00561489">
      <w:pPr>
        <w:pStyle w:val="ListParagraph"/>
        <w:numPr>
          <w:ilvl w:val="0"/>
          <w:numId w:val="4"/>
        </w:numPr>
        <w:spacing w:after="0"/>
      </w:pPr>
      <w:r>
        <w:t>Designing, delivering and evaluating services, including education provision;</w:t>
      </w:r>
    </w:p>
    <w:p w:rsidR="00561489" w:rsidRDefault="00561489" w:rsidP="00561489">
      <w:pPr>
        <w:pStyle w:val="ListParagraph"/>
        <w:numPr>
          <w:ilvl w:val="0"/>
          <w:numId w:val="4"/>
        </w:numPr>
        <w:spacing w:after="0"/>
      </w:pPr>
      <w:r>
        <w:t>Commissioning and procuring services from others.</w:t>
      </w:r>
    </w:p>
    <w:p w:rsidR="00AB269F" w:rsidRDefault="00AB269F" w:rsidP="00AB269F">
      <w:pPr>
        <w:spacing w:after="0"/>
      </w:pPr>
    </w:p>
    <w:p w:rsidR="00CA730C" w:rsidRPr="00CA730C" w:rsidRDefault="00CA730C" w:rsidP="005D477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</w:t>
      </w:r>
      <w:r w:rsidRPr="00CA730C">
        <w:rPr>
          <w:b/>
          <w:sz w:val="32"/>
          <w:szCs w:val="32"/>
        </w:rPr>
        <w:t>ow to prepare an Equality Impact Assessment</w:t>
      </w:r>
    </w:p>
    <w:p w:rsidR="00CA730C" w:rsidRDefault="00CA730C" w:rsidP="00CA730C">
      <w:pPr>
        <w:spacing w:after="0"/>
      </w:pPr>
    </w:p>
    <w:p w:rsidR="00CA730C" w:rsidRDefault="00CA730C" w:rsidP="00CA730C">
      <w:pPr>
        <w:spacing w:after="0"/>
      </w:pPr>
      <w:r>
        <w:t xml:space="preserve">The University is required to evaluate policies (and other documents) by performing an Equality Impact Assessment (EIA) for each one. There are two types of EIA that can be carried </w:t>
      </w:r>
      <w:proofErr w:type="gramStart"/>
      <w:r>
        <w:t>out:</w:t>
      </w:r>
      <w:proofErr w:type="gramEnd"/>
      <w:r>
        <w:t xml:space="preserve"> a comprehensive EIA (CEIA) and a quick EIA (QEIA).</w:t>
      </w:r>
    </w:p>
    <w:p w:rsidR="00CA730C" w:rsidRDefault="00CA730C" w:rsidP="00CA730C">
      <w:pPr>
        <w:spacing w:after="0"/>
      </w:pPr>
    </w:p>
    <w:p w:rsidR="00CA730C" w:rsidRPr="00D12EB8" w:rsidRDefault="00CA730C" w:rsidP="00CA730C">
      <w:pPr>
        <w:spacing w:after="0"/>
        <w:rPr>
          <w:b/>
        </w:rPr>
      </w:pPr>
      <w:r w:rsidRPr="00D12EB8">
        <w:rPr>
          <w:b/>
        </w:rPr>
        <w:t>Comprehensive EIA</w:t>
      </w:r>
    </w:p>
    <w:p w:rsidR="00CA730C" w:rsidRDefault="00CA730C" w:rsidP="00CA730C">
      <w:pPr>
        <w:pStyle w:val="ListParagraph"/>
        <w:numPr>
          <w:ilvl w:val="0"/>
          <w:numId w:val="8"/>
        </w:numPr>
        <w:spacing w:after="0"/>
      </w:pPr>
      <w:r>
        <w:t>Must be carried out for all new policies;</w:t>
      </w:r>
    </w:p>
    <w:p w:rsidR="00CA730C" w:rsidRDefault="00CA730C" w:rsidP="00CA730C">
      <w:pPr>
        <w:pStyle w:val="ListParagraph"/>
        <w:numPr>
          <w:ilvl w:val="0"/>
          <w:numId w:val="8"/>
        </w:numPr>
        <w:spacing w:after="0"/>
      </w:pPr>
      <w:proofErr w:type="gramStart"/>
      <w:r>
        <w:t>Must be carried out</w:t>
      </w:r>
      <w:proofErr w:type="gramEnd"/>
      <w:r>
        <w:t xml:space="preserve"> when reviewing all existing policies if a Quick Impact Assessment shows that any protected characteristic may be affected.</w:t>
      </w:r>
    </w:p>
    <w:p w:rsidR="00CA730C" w:rsidRPr="00D12EB8" w:rsidRDefault="00CA730C" w:rsidP="00CA730C">
      <w:pPr>
        <w:spacing w:after="0"/>
        <w:rPr>
          <w:b/>
        </w:rPr>
      </w:pPr>
      <w:r w:rsidRPr="00D12EB8">
        <w:rPr>
          <w:b/>
        </w:rPr>
        <w:t>Quick EIA</w:t>
      </w:r>
    </w:p>
    <w:p w:rsidR="00CA730C" w:rsidRDefault="00CA730C" w:rsidP="00CA730C">
      <w:pPr>
        <w:pStyle w:val="ListParagraph"/>
        <w:numPr>
          <w:ilvl w:val="0"/>
          <w:numId w:val="8"/>
        </w:numPr>
        <w:spacing w:after="0"/>
      </w:pPr>
      <w:r>
        <w:t>Carried out when revising or making minor amendments to all existing documents.</w:t>
      </w:r>
    </w:p>
    <w:p w:rsidR="00CA730C" w:rsidRDefault="00CA730C" w:rsidP="00CA730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7826"/>
      </w:tblGrid>
      <w:tr w:rsidR="00D12EB8" w:rsidTr="00D12EB8">
        <w:tc>
          <w:tcPr>
            <w:tcW w:w="1526" w:type="dxa"/>
            <w:vAlign w:val="center"/>
          </w:tcPr>
          <w:p w:rsidR="00D12EB8" w:rsidRDefault="00D12EB8" w:rsidP="00D12EB8">
            <w:pPr>
              <w:rPr>
                <w:b/>
              </w:rPr>
            </w:pPr>
            <w:r>
              <w:rPr>
                <w:b/>
              </w:rPr>
              <w:t>Steps to take</w:t>
            </w:r>
          </w:p>
        </w:tc>
        <w:tc>
          <w:tcPr>
            <w:tcW w:w="8022" w:type="dxa"/>
            <w:vAlign w:val="center"/>
          </w:tcPr>
          <w:p w:rsidR="00D12EB8" w:rsidRDefault="00D12EB8" w:rsidP="00D12EB8">
            <w:pPr>
              <w:rPr>
                <w:b/>
              </w:rPr>
            </w:pPr>
            <w:r>
              <w:rPr>
                <w:b/>
              </w:rPr>
              <w:t>Action to be completed</w:t>
            </w:r>
          </w:p>
        </w:tc>
      </w:tr>
      <w:tr w:rsidR="00D12EB8" w:rsidTr="00D12EB8">
        <w:tc>
          <w:tcPr>
            <w:tcW w:w="1526" w:type="dxa"/>
            <w:vAlign w:val="center"/>
          </w:tcPr>
          <w:p w:rsidR="00D12EB8" w:rsidRDefault="00D12EB8" w:rsidP="00D12EB8">
            <w:pPr>
              <w:jc w:val="center"/>
              <w:rPr>
                <w:b/>
              </w:rPr>
            </w:pPr>
            <w:r>
              <w:rPr>
                <w:b/>
              </w:rPr>
              <w:t>Step 1</w:t>
            </w:r>
          </w:p>
        </w:tc>
        <w:tc>
          <w:tcPr>
            <w:tcW w:w="8022" w:type="dxa"/>
            <w:vAlign w:val="center"/>
          </w:tcPr>
          <w:p w:rsidR="00D12EB8" w:rsidRPr="00D12EB8" w:rsidRDefault="00D12EB8" w:rsidP="00426D6F">
            <w:r w:rsidRPr="00D12EB8">
              <w:t xml:space="preserve">Select the relevant EIA form from the two </w:t>
            </w:r>
            <w:r w:rsidR="00426D6F">
              <w:t>available (details above)</w:t>
            </w:r>
            <w:r w:rsidRPr="00D12EB8">
              <w:t>.</w:t>
            </w:r>
          </w:p>
        </w:tc>
      </w:tr>
      <w:tr w:rsidR="00D12EB8" w:rsidTr="00D12EB8">
        <w:tc>
          <w:tcPr>
            <w:tcW w:w="1526" w:type="dxa"/>
            <w:vAlign w:val="center"/>
          </w:tcPr>
          <w:p w:rsidR="00D12EB8" w:rsidRDefault="00D12EB8" w:rsidP="00D12EB8">
            <w:pPr>
              <w:jc w:val="center"/>
              <w:rPr>
                <w:b/>
              </w:rPr>
            </w:pPr>
            <w:r>
              <w:rPr>
                <w:b/>
              </w:rPr>
              <w:t>Step 2</w:t>
            </w:r>
          </w:p>
        </w:tc>
        <w:tc>
          <w:tcPr>
            <w:tcW w:w="8022" w:type="dxa"/>
            <w:vAlign w:val="center"/>
          </w:tcPr>
          <w:p w:rsidR="00D12EB8" w:rsidRPr="00D12EB8" w:rsidRDefault="00D12EB8" w:rsidP="00D12EB8">
            <w:r w:rsidRPr="00D12EB8">
              <w:t>Consider and complete the EIA form alongside writing or amending the document.</w:t>
            </w:r>
          </w:p>
        </w:tc>
      </w:tr>
      <w:tr w:rsidR="00D12EB8" w:rsidTr="00D12EB8">
        <w:tc>
          <w:tcPr>
            <w:tcW w:w="1526" w:type="dxa"/>
            <w:vAlign w:val="center"/>
          </w:tcPr>
          <w:p w:rsidR="00D12EB8" w:rsidRDefault="00D12EB8" w:rsidP="00D12EB8">
            <w:pPr>
              <w:jc w:val="center"/>
              <w:rPr>
                <w:b/>
              </w:rPr>
            </w:pPr>
            <w:r>
              <w:rPr>
                <w:b/>
              </w:rPr>
              <w:t>Step 3</w:t>
            </w:r>
          </w:p>
        </w:tc>
        <w:tc>
          <w:tcPr>
            <w:tcW w:w="8022" w:type="dxa"/>
            <w:vAlign w:val="center"/>
          </w:tcPr>
          <w:p w:rsidR="00D12EB8" w:rsidRPr="00D12EB8" w:rsidRDefault="00D12EB8" w:rsidP="00D12EB8">
            <w:r w:rsidRPr="00D12EB8">
              <w:t xml:space="preserve">Consider new and existing data when answering all the questions.  Examples of existing data </w:t>
            </w:r>
            <w:proofErr w:type="gramStart"/>
            <w:r w:rsidRPr="00D12EB8">
              <w:t>can be found</w:t>
            </w:r>
            <w:proofErr w:type="gramEnd"/>
            <w:r w:rsidRPr="00D12EB8">
              <w:t xml:space="preserve"> near the end of this document.</w:t>
            </w:r>
          </w:p>
        </w:tc>
      </w:tr>
      <w:tr w:rsidR="00D12EB8" w:rsidTr="00D12EB8">
        <w:tc>
          <w:tcPr>
            <w:tcW w:w="1526" w:type="dxa"/>
            <w:vAlign w:val="center"/>
          </w:tcPr>
          <w:p w:rsidR="00D12EB8" w:rsidRDefault="00D12EB8" w:rsidP="00D12EB8">
            <w:pPr>
              <w:jc w:val="center"/>
              <w:rPr>
                <w:b/>
              </w:rPr>
            </w:pPr>
            <w:r>
              <w:rPr>
                <w:b/>
              </w:rPr>
              <w:t>Step 4</w:t>
            </w:r>
          </w:p>
        </w:tc>
        <w:tc>
          <w:tcPr>
            <w:tcW w:w="8022" w:type="dxa"/>
            <w:vAlign w:val="center"/>
          </w:tcPr>
          <w:p w:rsidR="00D12EB8" w:rsidRPr="00D12EB8" w:rsidRDefault="00D12EB8" w:rsidP="00D12EB8">
            <w:r w:rsidRPr="00D12EB8">
              <w:t>Consult with Lead Voices</w:t>
            </w:r>
            <w:r w:rsidR="00E82B85">
              <w:t xml:space="preserve"> if the EIA shows that any of the protected characteristic groups will have different experiences, issues or needs in relation to this document</w:t>
            </w:r>
            <w:r w:rsidRPr="00D12EB8">
              <w:t xml:space="preserve">.  </w:t>
            </w:r>
          </w:p>
        </w:tc>
      </w:tr>
      <w:tr w:rsidR="00D12EB8" w:rsidTr="00D12EB8">
        <w:tc>
          <w:tcPr>
            <w:tcW w:w="1526" w:type="dxa"/>
            <w:vAlign w:val="center"/>
          </w:tcPr>
          <w:p w:rsidR="00D12EB8" w:rsidRDefault="00D12EB8" w:rsidP="00D12EB8">
            <w:pPr>
              <w:jc w:val="center"/>
              <w:rPr>
                <w:b/>
              </w:rPr>
            </w:pPr>
            <w:r>
              <w:rPr>
                <w:b/>
              </w:rPr>
              <w:t>Step 5</w:t>
            </w:r>
          </w:p>
        </w:tc>
        <w:tc>
          <w:tcPr>
            <w:tcW w:w="8022" w:type="dxa"/>
            <w:vAlign w:val="center"/>
          </w:tcPr>
          <w:p w:rsidR="00D12EB8" w:rsidRPr="00D12EB8" w:rsidRDefault="00D12EB8" w:rsidP="00D12EB8">
            <w:r w:rsidRPr="00D12EB8">
              <w:t>Where relevant ensure that your line manager has signed off the document and EIA.</w:t>
            </w:r>
          </w:p>
        </w:tc>
      </w:tr>
      <w:tr w:rsidR="00D12EB8" w:rsidTr="00D12EB8">
        <w:tc>
          <w:tcPr>
            <w:tcW w:w="1526" w:type="dxa"/>
            <w:vAlign w:val="center"/>
          </w:tcPr>
          <w:p w:rsidR="00D12EB8" w:rsidRDefault="00D12EB8" w:rsidP="00D12EB8">
            <w:pPr>
              <w:jc w:val="center"/>
              <w:rPr>
                <w:b/>
              </w:rPr>
            </w:pPr>
            <w:r>
              <w:rPr>
                <w:b/>
              </w:rPr>
              <w:t>Step 6</w:t>
            </w:r>
          </w:p>
        </w:tc>
        <w:tc>
          <w:tcPr>
            <w:tcW w:w="8022" w:type="dxa"/>
            <w:vAlign w:val="center"/>
          </w:tcPr>
          <w:p w:rsidR="00D12EB8" w:rsidRPr="00D12EB8" w:rsidRDefault="00D12EB8" w:rsidP="00D12EB8">
            <w:r w:rsidRPr="00D12EB8">
              <w:t>Attach EIA to the back of the document.</w:t>
            </w:r>
          </w:p>
        </w:tc>
      </w:tr>
      <w:tr w:rsidR="00D12EB8" w:rsidTr="00D12EB8">
        <w:tc>
          <w:tcPr>
            <w:tcW w:w="1526" w:type="dxa"/>
            <w:vAlign w:val="center"/>
          </w:tcPr>
          <w:p w:rsidR="00D12EB8" w:rsidRDefault="00D12EB8" w:rsidP="00D12EB8">
            <w:pPr>
              <w:jc w:val="center"/>
              <w:rPr>
                <w:b/>
              </w:rPr>
            </w:pPr>
            <w:r>
              <w:rPr>
                <w:b/>
              </w:rPr>
              <w:t>Step 7</w:t>
            </w:r>
          </w:p>
        </w:tc>
        <w:tc>
          <w:tcPr>
            <w:tcW w:w="8022" w:type="dxa"/>
            <w:vAlign w:val="center"/>
          </w:tcPr>
          <w:p w:rsidR="00D86930" w:rsidRDefault="00D12EB8" w:rsidP="00D86930">
            <w:r w:rsidRPr="00D12EB8">
              <w:t xml:space="preserve">Send to Academic Registry asking that document is sent to the JLG </w:t>
            </w:r>
            <w:r w:rsidR="00D86930">
              <w:t>for consultation,</w:t>
            </w:r>
            <w:r w:rsidR="00D86930">
              <w:rPr>
                <w:rStyle w:val="FootnoteReference"/>
              </w:rPr>
              <w:t xml:space="preserve"> </w:t>
            </w:r>
            <w:r w:rsidR="00D86930">
              <w:rPr>
                <w:rStyle w:val="FootnoteReference"/>
              </w:rPr>
              <w:footnoteReference w:id="1"/>
            </w:r>
          </w:p>
          <w:p w:rsidR="00D12EB8" w:rsidRPr="00D12EB8" w:rsidRDefault="00D86930" w:rsidP="00D12EB8">
            <w:r>
              <w:t xml:space="preserve"> </w:t>
            </w:r>
            <w:proofErr w:type="gramStart"/>
            <w:r w:rsidR="00D12EB8" w:rsidRPr="00D12EB8">
              <w:t>then</w:t>
            </w:r>
            <w:proofErr w:type="gramEnd"/>
            <w:r w:rsidR="00D12EB8" w:rsidRPr="00D12EB8">
              <w:t xml:space="preserve"> </w:t>
            </w:r>
            <w:r w:rsidR="00426D6F">
              <w:t xml:space="preserve">to </w:t>
            </w:r>
            <w:r w:rsidR="00D12EB8" w:rsidRPr="00D12EB8">
              <w:t xml:space="preserve">the </w:t>
            </w:r>
            <w:r w:rsidR="00426D6F">
              <w:t xml:space="preserve">relevant committee for approval, </w:t>
            </w:r>
            <w:hyperlink r:id="rId10" w:history="1">
              <w:r w:rsidR="00426D6F" w:rsidRPr="00241789">
                <w:rPr>
                  <w:rStyle w:val="Hyperlink"/>
                </w:rPr>
                <w:t>secretariat@abertay.ac.uk</w:t>
              </w:r>
            </w:hyperlink>
            <w:r w:rsidR="00426D6F">
              <w:t xml:space="preserve">. </w:t>
            </w:r>
          </w:p>
        </w:tc>
      </w:tr>
      <w:tr w:rsidR="00D12EB8" w:rsidTr="00D12EB8">
        <w:tc>
          <w:tcPr>
            <w:tcW w:w="1526" w:type="dxa"/>
            <w:vAlign w:val="center"/>
          </w:tcPr>
          <w:p w:rsidR="00D12EB8" w:rsidRDefault="00D12EB8" w:rsidP="00D12EB8">
            <w:pPr>
              <w:jc w:val="center"/>
              <w:rPr>
                <w:b/>
              </w:rPr>
            </w:pPr>
            <w:r>
              <w:rPr>
                <w:b/>
              </w:rPr>
              <w:t>Step 8</w:t>
            </w:r>
          </w:p>
        </w:tc>
        <w:tc>
          <w:tcPr>
            <w:tcW w:w="8022" w:type="dxa"/>
            <w:vAlign w:val="center"/>
          </w:tcPr>
          <w:p w:rsidR="00D12EB8" w:rsidRPr="00D12EB8" w:rsidRDefault="00426D6F" w:rsidP="00426D6F">
            <w:r>
              <w:t xml:space="preserve">Document </w:t>
            </w:r>
            <w:proofErr w:type="gramStart"/>
            <w:r>
              <w:t>can be p</w:t>
            </w:r>
            <w:r w:rsidR="00D12EB8" w:rsidRPr="00D12EB8">
              <w:t>ublish</w:t>
            </w:r>
            <w:r>
              <w:t>ed</w:t>
            </w:r>
            <w:proofErr w:type="gramEnd"/>
            <w:r w:rsidR="00D12EB8" w:rsidRPr="00D12EB8">
              <w:t xml:space="preserve"> once approval received.</w:t>
            </w:r>
            <w:r>
              <w:t xml:space="preserve">  </w:t>
            </w:r>
          </w:p>
        </w:tc>
      </w:tr>
    </w:tbl>
    <w:p w:rsidR="00F75484" w:rsidRDefault="00F75484" w:rsidP="00F75484">
      <w:pPr>
        <w:spacing w:after="0"/>
      </w:pPr>
    </w:p>
    <w:p w:rsidR="00D86930" w:rsidRDefault="00D86930">
      <w:r>
        <w:br w:type="page"/>
      </w:r>
    </w:p>
    <w:p w:rsidR="003F7B9B" w:rsidRPr="003F7B9B" w:rsidRDefault="003F7B9B" w:rsidP="00AB269F">
      <w:pPr>
        <w:spacing w:after="0"/>
        <w:rPr>
          <w:b/>
          <w:sz w:val="32"/>
          <w:szCs w:val="32"/>
        </w:rPr>
      </w:pPr>
      <w:bookmarkStart w:id="0" w:name="_GoBack"/>
      <w:bookmarkEnd w:id="0"/>
      <w:r w:rsidRPr="003F7B9B">
        <w:rPr>
          <w:b/>
          <w:sz w:val="32"/>
          <w:szCs w:val="32"/>
        </w:rPr>
        <w:lastRenderedPageBreak/>
        <w:t>Resources</w:t>
      </w:r>
    </w:p>
    <w:p w:rsidR="003F7B9B" w:rsidRDefault="003F7B9B" w:rsidP="00AB269F">
      <w:pPr>
        <w:spacing w:after="0"/>
      </w:pPr>
    </w:p>
    <w:p w:rsidR="003F7B9B" w:rsidRPr="003F7B9B" w:rsidRDefault="003F7B9B" w:rsidP="00AB269F">
      <w:pPr>
        <w:spacing w:after="0"/>
        <w:rPr>
          <w:b/>
          <w:u w:val="single"/>
        </w:rPr>
      </w:pPr>
      <w:r w:rsidRPr="003F7B9B">
        <w:rPr>
          <w:b/>
          <w:u w:val="single"/>
        </w:rPr>
        <w:t xml:space="preserve">Internal </w:t>
      </w:r>
      <w:r w:rsidR="007E00F2">
        <w:rPr>
          <w:b/>
          <w:u w:val="single"/>
        </w:rPr>
        <w:t xml:space="preserve">people &amp; </w:t>
      </w:r>
      <w:r w:rsidRPr="003F7B9B">
        <w:rPr>
          <w:b/>
          <w:u w:val="single"/>
        </w:rPr>
        <w:t>resources</w:t>
      </w:r>
    </w:p>
    <w:p w:rsidR="003F7B9B" w:rsidRDefault="003F7B9B" w:rsidP="00AB269F">
      <w:pPr>
        <w:spacing w:after="0"/>
      </w:pPr>
    </w:p>
    <w:p w:rsidR="00B346DC" w:rsidRDefault="00B346DC" w:rsidP="00B346DC">
      <w:pPr>
        <w:spacing w:after="120"/>
      </w:pPr>
      <w:r>
        <w:t xml:space="preserve">Lead Voices </w:t>
      </w:r>
    </w:p>
    <w:p w:rsidR="00581D63" w:rsidRDefault="00581D63" w:rsidP="00B346DC">
      <w:pPr>
        <w:spacing w:after="120"/>
      </w:pPr>
      <w:r>
        <w:t xml:space="preserve">Sharon Jeffrey, Occupational Health Advisor, </w:t>
      </w:r>
      <w:hyperlink r:id="rId11" w:history="1">
        <w:r w:rsidRPr="00241789">
          <w:rPr>
            <w:rStyle w:val="Hyperlink"/>
          </w:rPr>
          <w:t>s.jeffrey@abertay.ac.uk</w:t>
        </w:r>
      </w:hyperlink>
      <w:r>
        <w:t xml:space="preserve"> </w:t>
      </w:r>
    </w:p>
    <w:p w:rsidR="00581D63" w:rsidRDefault="00581D63" w:rsidP="00B346DC">
      <w:pPr>
        <w:spacing w:after="120"/>
      </w:pPr>
      <w:r>
        <w:t xml:space="preserve">Teaching &amp; Learning </w:t>
      </w:r>
      <w:r w:rsidR="00B17928">
        <w:t xml:space="preserve">Enhancement Team: </w:t>
      </w:r>
      <w:hyperlink r:id="rId12" w:history="1">
        <w:r w:rsidR="00B17928" w:rsidRPr="00241789">
          <w:rPr>
            <w:rStyle w:val="Hyperlink"/>
          </w:rPr>
          <w:t>https://intranet.abertay.ac.uk/services/nettle/contactus/</w:t>
        </w:r>
      </w:hyperlink>
      <w:r w:rsidR="00B17928">
        <w:t xml:space="preserve"> </w:t>
      </w:r>
    </w:p>
    <w:p w:rsidR="00B17928" w:rsidRDefault="00B17928" w:rsidP="00B346DC">
      <w:pPr>
        <w:spacing w:after="120"/>
      </w:pPr>
      <w:r>
        <w:t xml:space="preserve">Learner Development Advisors (located in Student Services): </w:t>
      </w:r>
      <w:hyperlink r:id="rId13" w:history="1">
        <w:r w:rsidRPr="00241789">
          <w:rPr>
            <w:rStyle w:val="Hyperlink"/>
          </w:rPr>
          <w:t>https://intranet.abertay.ac.uk/services/studentservices/learner-development/</w:t>
        </w:r>
      </w:hyperlink>
      <w:r>
        <w:t xml:space="preserve"> </w:t>
      </w:r>
    </w:p>
    <w:p w:rsidR="00B17928" w:rsidRDefault="00B17928" w:rsidP="00B346DC">
      <w:pPr>
        <w:spacing w:after="120"/>
      </w:pPr>
      <w:r>
        <w:t xml:space="preserve">David Cameron, Mental Health Advisor (Student), </w:t>
      </w:r>
      <w:hyperlink r:id="rId14" w:history="1">
        <w:r w:rsidRPr="00241789">
          <w:rPr>
            <w:rStyle w:val="Hyperlink"/>
          </w:rPr>
          <w:t>mentalhealth@abertay.ac.uk</w:t>
        </w:r>
      </w:hyperlink>
      <w:r>
        <w:t xml:space="preserve"> </w:t>
      </w:r>
    </w:p>
    <w:p w:rsidR="00B17928" w:rsidRDefault="00B17928" w:rsidP="00AB269F">
      <w:pPr>
        <w:spacing w:after="0"/>
      </w:pPr>
    </w:p>
    <w:p w:rsidR="003F7B9B" w:rsidRDefault="003F7B9B" w:rsidP="00B346DC">
      <w:pPr>
        <w:spacing w:after="120"/>
      </w:pPr>
      <w:proofErr w:type="spellStart"/>
      <w:r>
        <w:t>Qlikview</w:t>
      </w:r>
      <w:proofErr w:type="spellEnd"/>
      <w:r>
        <w:t xml:space="preserve"> (Student Number Reporting) </w:t>
      </w:r>
      <w:hyperlink r:id="rId15" w:history="1">
        <w:r w:rsidRPr="00241789">
          <w:rPr>
            <w:rStyle w:val="Hyperlink"/>
          </w:rPr>
          <w:t>https://intranet.abertay.ac.uk/services/planningoffice/studentnumberreportingqlikview/</w:t>
        </w:r>
      </w:hyperlink>
      <w:r>
        <w:t xml:space="preserve"> </w:t>
      </w:r>
    </w:p>
    <w:p w:rsidR="003F7B9B" w:rsidRDefault="003F7B9B" w:rsidP="00B346DC">
      <w:pPr>
        <w:spacing w:after="0"/>
      </w:pPr>
      <w:r>
        <w:t>Athena SWAN Charter Bronze Award (</w:t>
      </w:r>
      <w:r w:rsidR="008141C8">
        <w:t>Institutional</w:t>
      </w:r>
      <w:r>
        <w:t xml:space="preserve">) </w:t>
      </w:r>
    </w:p>
    <w:p w:rsidR="003F7B9B" w:rsidRDefault="00D86930" w:rsidP="00B346DC">
      <w:pPr>
        <w:spacing w:after="120"/>
      </w:pPr>
      <w:hyperlink r:id="rId16" w:history="1">
        <w:r w:rsidR="003F7B9B" w:rsidRPr="00241789">
          <w:rPr>
            <w:rStyle w:val="Hyperlink"/>
          </w:rPr>
          <w:t>https://www.abertay.ac.uk/discover/the-university/governance-and-management/equalityanddiversity/charter-marks/athena-swan/</w:t>
        </w:r>
      </w:hyperlink>
    </w:p>
    <w:p w:rsidR="003F7B9B" w:rsidRDefault="003F7B9B" w:rsidP="00B346DC">
      <w:pPr>
        <w:spacing w:after="0"/>
      </w:pPr>
      <w:r>
        <w:t>Race Equality Charter Bronze Award</w:t>
      </w:r>
    </w:p>
    <w:p w:rsidR="003F7B9B" w:rsidRDefault="00D86930" w:rsidP="00B346DC">
      <w:pPr>
        <w:spacing w:after="120"/>
      </w:pPr>
      <w:hyperlink r:id="rId17" w:history="1">
        <w:r w:rsidR="003F7B9B" w:rsidRPr="00241789">
          <w:rPr>
            <w:rStyle w:val="Hyperlink"/>
          </w:rPr>
          <w:t>https://www.abertay.ac.uk/discover/the-university/governance-and-management/equalityanddiversity/charter-marks/race-equality-charter/</w:t>
        </w:r>
      </w:hyperlink>
    </w:p>
    <w:p w:rsidR="003F7B9B" w:rsidRDefault="003F7B9B" w:rsidP="00AB269F">
      <w:pPr>
        <w:spacing w:after="0"/>
      </w:pPr>
    </w:p>
    <w:p w:rsidR="003F7B9B" w:rsidRPr="003F7B9B" w:rsidRDefault="003F7B9B" w:rsidP="00AB269F">
      <w:pPr>
        <w:spacing w:after="0"/>
        <w:rPr>
          <w:b/>
          <w:u w:val="single"/>
        </w:rPr>
      </w:pPr>
      <w:r w:rsidRPr="003F7B9B">
        <w:rPr>
          <w:b/>
          <w:u w:val="single"/>
        </w:rPr>
        <w:t>External resources</w:t>
      </w:r>
    </w:p>
    <w:p w:rsidR="003F7B9B" w:rsidRDefault="003F7B9B" w:rsidP="00AB269F">
      <w:pPr>
        <w:spacing w:after="0"/>
      </w:pPr>
    </w:p>
    <w:p w:rsidR="003F7B9B" w:rsidRDefault="003F7B9B" w:rsidP="00AB269F">
      <w:pPr>
        <w:spacing w:after="0"/>
      </w:pPr>
      <w:r>
        <w:t>University Equality &amp; Diversity Protected Groups external page.  This page contains useful links to both local and national external groups.</w:t>
      </w:r>
    </w:p>
    <w:p w:rsidR="003F7B9B" w:rsidRDefault="00D86930" w:rsidP="00AB269F">
      <w:pPr>
        <w:spacing w:after="0"/>
      </w:pPr>
      <w:hyperlink r:id="rId18" w:history="1">
        <w:r w:rsidR="003F7B9B" w:rsidRPr="00241789">
          <w:rPr>
            <w:rStyle w:val="Hyperlink"/>
          </w:rPr>
          <w:t>https://www.abertay.ac.uk/discover/the-university/governance-and-management/equalityanddiversity/protected-groups/</w:t>
        </w:r>
      </w:hyperlink>
    </w:p>
    <w:p w:rsidR="003F7B9B" w:rsidRDefault="003F7B9B" w:rsidP="00AB269F">
      <w:pPr>
        <w:spacing w:after="0"/>
      </w:pPr>
    </w:p>
    <w:sectPr w:rsidR="003F7B9B" w:rsidSect="00FB2760">
      <w:headerReference w:type="default" r:id="rId19"/>
      <w:pgSz w:w="11906" w:h="16838"/>
      <w:pgMar w:top="1134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7E6" w:rsidRDefault="004E67E6" w:rsidP="004E67E6">
      <w:pPr>
        <w:spacing w:after="0" w:line="240" w:lineRule="auto"/>
      </w:pPr>
      <w:r>
        <w:separator/>
      </w:r>
    </w:p>
  </w:endnote>
  <w:endnote w:type="continuationSeparator" w:id="0">
    <w:p w:rsidR="004E67E6" w:rsidRDefault="004E67E6" w:rsidP="004E6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7E6" w:rsidRDefault="004E67E6" w:rsidP="004E67E6">
      <w:pPr>
        <w:spacing w:after="0" w:line="240" w:lineRule="auto"/>
      </w:pPr>
      <w:r>
        <w:separator/>
      </w:r>
    </w:p>
  </w:footnote>
  <w:footnote w:type="continuationSeparator" w:id="0">
    <w:p w:rsidR="004E67E6" w:rsidRDefault="004E67E6" w:rsidP="004E67E6">
      <w:pPr>
        <w:spacing w:after="0" w:line="240" w:lineRule="auto"/>
      </w:pPr>
      <w:r>
        <w:continuationSeparator/>
      </w:r>
    </w:p>
  </w:footnote>
  <w:footnote w:id="1">
    <w:p w:rsidR="00D86930" w:rsidRDefault="00D86930" w:rsidP="00D86930">
      <w:pPr>
        <w:pStyle w:val="FootnoteText"/>
      </w:pPr>
      <w:r>
        <w:rPr>
          <w:rStyle w:val="FootnoteReference"/>
        </w:rPr>
        <w:footnoteRef/>
      </w:r>
      <w:r>
        <w:t xml:space="preserve"> N.B. JLG consultation not required for student-facing policies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7E6" w:rsidRDefault="004E67E6" w:rsidP="004E67E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77BA"/>
    <w:multiLevelType w:val="hybridMultilevel"/>
    <w:tmpl w:val="1A1629CA"/>
    <w:lvl w:ilvl="0" w:tplc="6A5E0EDA">
      <w:start w:val="4"/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381DBF"/>
    <w:multiLevelType w:val="hybridMultilevel"/>
    <w:tmpl w:val="D55E08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6F29E9"/>
    <w:multiLevelType w:val="hybridMultilevel"/>
    <w:tmpl w:val="0AAEF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712F9"/>
    <w:multiLevelType w:val="hybridMultilevel"/>
    <w:tmpl w:val="2108A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42F46"/>
    <w:multiLevelType w:val="hybridMultilevel"/>
    <w:tmpl w:val="7A20C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E2EAE"/>
    <w:multiLevelType w:val="hybridMultilevel"/>
    <w:tmpl w:val="29B67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A4348"/>
    <w:multiLevelType w:val="hybridMultilevel"/>
    <w:tmpl w:val="85F489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979B9"/>
    <w:multiLevelType w:val="hybridMultilevel"/>
    <w:tmpl w:val="85F489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60"/>
    <w:rsid w:val="000961BB"/>
    <w:rsid w:val="00210199"/>
    <w:rsid w:val="002D6A81"/>
    <w:rsid w:val="003F38BB"/>
    <w:rsid w:val="003F538C"/>
    <w:rsid w:val="003F7B9B"/>
    <w:rsid w:val="00426D6F"/>
    <w:rsid w:val="00467301"/>
    <w:rsid w:val="004A1764"/>
    <w:rsid w:val="004E67E6"/>
    <w:rsid w:val="00545F86"/>
    <w:rsid w:val="00561489"/>
    <w:rsid w:val="00581D63"/>
    <w:rsid w:val="005C0992"/>
    <w:rsid w:val="005D4773"/>
    <w:rsid w:val="006A61D2"/>
    <w:rsid w:val="006C1AE2"/>
    <w:rsid w:val="007E00F2"/>
    <w:rsid w:val="008141C8"/>
    <w:rsid w:val="008265CC"/>
    <w:rsid w:val="008414F5"/>
    <w:rsid w:val="008A743E"/>
    <w:rsid w:val="009D2AC3"/>
    <w:rsid w:val="00AB269F"/>
    <w:rsid w:val="00AC09AC"/>
    <w:rsid w:val="00B17928"/>
    <w:rsid w:val="00B346DC"/>
    <w:rsid w:val="00C33E4C"/>
    <w:rsid w:val="00C96812"/>
    <w:rsid w:val="00CA730C"/>
    <w:rsid w:val="00D12EB8"/>
    <w:rsid w:val="00D86930"/>
    <w:rsid w:val="00E4083A"/>
    <w:rsid w:val="00E82B85"/>
    <w:rsid w:val="00F75484"/>
    <w:rsid w:val="00FB2760"/>
    <w:rsid w:val="00FC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CCB74"/>
  <w15:docId w15:val="{8C801091-2D23-4B92-B7DE-F4899121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6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E6"/>
  </w:style>
  <w:style w:type="paragraph" w:styleId="Footer">
    <w:name w:val="footer"/>
    <w:basedOn w:val="Normal"/>
    <w:link w:val="FooterChar"/>
    <w:uiPriority w:val="99"/>
    <w:unhideWhenUsed/>
    <w:rsid w:val="004E6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E6"/>
  </w:style>
  <w:style w:type="paragraph" w:styleId="ListParagraph">
    <w:name w:val="List Paragraph"/>
    <w:basedOn w:val="Normal"/>
    <w:uiPriority w:val="34"/>
    <w:qFormat/>
    <w:rsid w:val="000961B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C09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9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9AC"/>
    <w:rPr>
      <w:vertAlign w:val="superscript"/>
    </w:rPr>
  </w:style>
  <w:style w:type="table" w:styleId="TableGrid">
    <w:name w:val="Table Grid"/>
    <w:basedOn w:val="TableNormal"/>
    <w:uiPriority w:val="59"/>
    <w:rsid w:val="00D12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6D6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6D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D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D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D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D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ranet.abertay.ac.uk/services/studentservices/learner-development/" TargetMode="External"/><Relationship Id="rId18" Type="http://schemas.openxmlformats.org/officeDocument/2006/relationships/hyperlink" Target="https://www.abertay.ac.uk/discover/the-university/governance-and-management/equalityanddiversity/protected-groups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ranet.abertay.ac.uk/services/nettle/contactus/" TargetMode="External"/><Relationship Id="rId17" Type="http://schemas.openxmlformats.org/officeDocument/2006/relationships/hyperlink" Target="https://www.abertay.ac.uk/discover/the-university/governance-and-management/equalityanddiversity/charter-marks/race-equality-chart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bertay.ac.uk/discover/the-university/governance-and-management/equalityanddiversity/charter-marks/athena-swan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.jeffrey@abertay.ac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ranet.abertay.ac.uk/services/planningoffice/studentnumberreportingqlikview/" TargetMode="External"/><Relationship Id="rId10" Type="http://schemas.openxmlformats.org/officeDocument/2006/relationships/hyperlink" Target="mailto:secretariat@abertay.ac.u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entalhealth@abertay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70DDD-B335-40D2-B553-612836DF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UAD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Caldwell, Fiona</dc:creator>
  <cp:lastModifiedBy>Alison Ramsay</cp:lastModifiedBy>
  <cp:revision>2</cp:revision>
  <dcterms:created xsi:type="dcterms:W3CDTF">2017-11-15T17:01:00Z</dcterms:created>
  <dcterms:modified xsi:type="dcterms:W3CDTF">2017-11-15T17:01:00Z</dcterms:modified>
</cp:coreProperties>
</file>